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ED" w:rsidRPr="008A2662" w:rsidRDefault="00823EED" w:rsidP="00823EED">
      <w:pPr>
        <w:autoSpaceDE w:val="0"/>
        <w:autoSpaceDN w:val="0"/>
        <w:adjustRightInd w:val="0"/>
        <w:jc w:val="center"/>
        <w:rPr>
          <w:b/>
          <w:bCs/>
          <w:sz w:val="24"/>
          <w:szCs w:val="24"/>
          <w:lang w:val="ro-MO"/>
        </w:rPr>
      </w:pPr>
      <w:r w:rsidRPr="008A2662">
        <w:rPr>
          <w:b/>
          <w:bCs/>
          <w:sz w:val="24"/>
          <w:szCs w:val="24"/>
          <w:lang w:val="ro-MO"/>
        </w:rPr>
        <w:t>PLANUL TEMATIC</w:t>
      </w:r>
    </w:p>
    <w:p w:rsidR="00823EED" w:rsidRPr="008A2662" w:rsidRDefault="00823EED" w:rsidP="00823EED">
      <w:pPr>
        <w:autoSpaceDE w:val="0"/>
        <w:autoSpaceDN w:val="0"/>
        <w:adjustRightInd w:val="0"/>
        <w:jc w:val="center"/>
        <w:rPr>
          <w:b/>
          <w:bCs/>
          <w:sz w:val="24"/>
          <w:szCs w:val="24"/>
          <w:lang w:val="ro-MO"/>
        </w:rPr>
      </w:pPr>
      <w:r w:rsidRPr="008A2662">
        <w:rPr>
          <w:b/>
          <w:bCs/>
          <w:sz w:val="24"/>
          <w:szCs w:val="24"/>
          <w:lang w:val="ro-MO"/>
        </w:rPr>
        <w:t>de instruire postuniversitară a rezidenţilor</w:t>
      </w:r>
    </w:p>
    <w:p w:rsidR="00823EED" w:rsidRPr="008A2662" w:rsidRDefault="00823EED" w:rsidP="00823EED">
      <w:pPr>
        <w:jc w:val="center"/>
        <w:rPr>
          <w:b/>
          <w:bCs/>
          <w:sz w:val="24"/>
          <w:szCs w:val="24"/>
          <w:lang w:val="ro-MO"/>
        </w:rPr>
      </w:pPr>
      <w:r w:rsidRPr="008A2662">
        <w:rPr>
          <w:b/>
          <w:bCs/>
          <w:sz w:val="24"/>
          <w:szCs w:val="24"/>
          <w:lang w:val="ro-MO"/>
        </w:rPr>
        <w:t xml:space="preserve">specialitatea </w:t>
      </w:r>
      <w:r w:rsidRPr="008A2662">
        <w:rPr>
          <w:b/>
          <w:color w:val="000000"/>
          <w:sz w:val="24"/>
          <w:szCs w:val="24"/>
          <w:lang w:val="ro-MO"/>
        </w:rPr>
        <w:t>Pedodonție</w:t>
      </w:r>
      <w:r w:rsidRPr="008A2662">
        <w:rPr>
          <w:b/>
          <w:bCs/>
          <w:sz w:val="24"/>
          <w:szCs w:val="24"/>
          <w:lang w:val="ro-MO"/>
        </w:rPr>
        <w:t xml:space="preserve"> (anul de studiu I)</w:t>
      </w:r>
    </w:p>
    <w:p w:rsidR="00CB0C72" w:rsidRDefault="00CB0C72">
      <w:pPr>
        <w:rPr>
          <w:sz w:val="24"/>
          <w:lang w:val="ro-MO"/>
        </w:rPr>
      </w:pPr>
    </w:p>
    <w:tbl>
      <w:tblPr>
        <w:tblW w:w="10494"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4961"/>
        <w:gridCol w:w="1202"/>
        <w:gridCol w:w="1276"/>
        <w:gridCol w:w="1134"/>
        <w:gridCol w:w="1279"/>
      </w:tblGrid>
      <w:tr w:rsidR="0088111E" w:rsidRPr="008A2662" w:rsidTr="00D66E0E">
        <w:trPr>
          <w:jc w:val="center"/>
        </w:trPr>
        <w:tc>
          <w:tcPr>
            <w:tcW w:w="642" w:type="dxa"/>
            <w:vMerge w:val="restart"/>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Nr</w:t>
            </w:r>
          </w:p>
        </w:tc>
        <w:tc>
          <w:tcPr>
            <w:tcW w:w="4961" w:type="dxa"/>
            <w:vMerge w:val="restart"/>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Tema</w:t>
            </w:r>
          </w:p>
        </w:tc>
        <w:tc>
          <w:tcPr>
            <w:tcW w:w="4891" w:type="dxa"/>
            <w:gridSpan w:val="4"/>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Numărul de ore</w:t>
            </w:r>
          </w:p>
        </w:tc>
      </w:tr>
      <w:tr w:rsidR="0088111E" w:rsidRPr="008A2662" w:rsidTr="00D66E0E">
        <w:trPr>
          <w:jc w:val="center"/>
        </w:trPr>
        <w:tc>
          <w:tcPr>
            <w:tcW w:w="642" w:type="dxa"/>
            <w:vMerge/>
            <w:vAlign w:val="center"/>
          </w:tcPr>
          <w:p w:rsidR="0088111E" w:rsidRPr="00D66E0E" w:rsidRDefault="0088111E" w:rsidP="00D66E0E">
            <w:pPr>
              <w:spacing w:line="276" w:lineRule="auto"/>
              <w:jc w:val="center"/>
              <w:rPr>
                <w:b/>
                <w:sz w:val="24"/>
                <w:szCs w:val="24"/>
                <w:lang w:val="ro-MO"/>
              </w:rPr>
            </w:pPr>
          </w:p>
        </w:tc>
        <w:tc>
          <w:tcPr>
            <w:tcW w:w="4961" w:type="dxa"/>
            <w:vMerge/>
            <w:vAlign w:val="center"/>
          </w:tcPr>
          <w:p w:rsidR="0088111E" w:rsidRPr="00D66E0E" w:rsidRDefault="0088111E" w:rsidP="00D66E0E">
            <w:pPr>
              <w:spacing w:line="276" w:lineRule="auto"/>
              <w:jc w:val="center"/>
              <w:rPr>
                <w:b/>
                <w:sz w:val="24"/>
                <w:szCs w:val="24"/>
                <w:lang w:val="ro-MO"/>
              </w:rPr>
            </w:pPr>
          </w:p>
        </w:tc>
        <w:tc>
          <w:tcPr>
            <w:tcW w:w="1202" w:type="dxa"/>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Prelegeri</w:t>
            </w:r>
          </w:p>
        </w:tc>
        <w:tc>
          <w:tcPr>
            <w:tcW w:w="1276" w:type="dxa"/>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Seminare</w:t>
            </w:r>
          </w:p>
        </w:tc>
        <w:tc>
          <w:tcPr>
            <w:tcW w:w="1134" w:type="dxa"/>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Lecţii practice</w:t>
            </w:r>
          </w:p>
        </w:tc>
        <w:tc>
          <w:tcPr>
            <w:tcW w:w="1279" w:type="dxa"/>
            <w:vAlign w:val="center"/>
          </w:tcPr>
          <w:p w:rsidR="0088111E" w:rsidRPr="00D66E0E" w:rsidRDefault="0088111E" w:rsidP="00D66E0E">
            <w:pPr>
              <w:spacing w:line="276" w:lineRule="auto"/>
              <w:jc w:val="center"/>
              <w:rPr>
                <w:b/>
                <w:sz w:val="24"/>
                <w:szCs w:val="24"/>
                <w:lang w:val="ro-MO"/>
              </w:rPr>
            </w:pPr>
            <w:r w:rsidRPr="00D66E0E">
              <w:rPr>
                <w:b/>
                <w:sz w:val="24"/>
                <w:szCs w:val="24"/>
                <w:lang w:val="ro-MO"/>
              </w:rPr>
              <w:t>Activitate clinică</w:t>
            </w:r>
          </w:p>
        </w:tc>
      </w:tr>
      <w:tr w:rsidR="0088111E" w:rsidRPr="008A2662" w:rsidTr="00D66E0E">
        <w:trPr>
          <w:trHeight w:val="459"/>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color w:val="000000"/>
                <w:sz w:val="24"/>
                <w:szCs w:val="24"/>
                <w:lang w:val="ro-MO"/>
              </w:rPr>
            </w:pPr>
            <w:r w:rsidRPr="008A2662">
              <w:rPr>
                <w:sz w:val="24"/>
                <w:szCs w:val="24"/>
                <w:lang w:val="ro-MO"/>
              </w:rPr>
              <w:t xml:space="preserve">Conceptul preventiv în stomatologie. Prevenirea primară, secundară şi terţiară. </w:t>
            </w:r>
            <w:r w:rsidRPr="008A2662">
              <w:rPr>
                <w:color w:val="000000"/>
                <w:sz w:val="24"/>
                <w:szCs w:val="24"/>
                <w:lang w:val="ro-MO"/>
              </w:rPr>
              <w:t>Istoricul dezvoltării pedodonției. Epidemiologia principalelor afecțiuni și maladii dentare, parodontale și ale mucoasei orale la copii.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29</w:t>
            </w:r>
          </w:p>
        </w:tc>
      </w:tr>
      <w:tr w:rsidR="0088111E" w:rsidRPr="008A2662" w:rsidTr="00D66E0E">
        <w:trPr>
          <w:trHeight w:val="459"/>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Metodele de examinare stomatologică şi înregistrarea principalilor indici după criteriile OMS.</w:t>
            </w:r>
            <w:r w:rsidRPr="008A2662">
              <w:rPr>
                <w:sz w:val="24"/>
                <w:szCs w:val="24"/>
                <w:lang w:val="ro-MO"/>
              </w:rPr>
              <w:tab/>
              <w:t>Indicii de placă bacteriană şi igienă orală.</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trHeight w:val="519"/>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Metode de prognostic a cariei dentare.</w:t>
            </w:r>
            <w:r w:rsidRPr="008A2662">
              <w:rPr>
                <w:sz w:val="24"/>
                <w:szCs w:val="24"/>
                <w:lang w:val="ro-MO"/>
              </w:rPr>
              <w:tab/>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tabs>
                <w:tab w:val="left" w:pos="0"/>
                <w:tab w:val="left" w:pos="9639"/>
              </w:tabs>
              <w:spacing w:line="276" w:lineRule="auto"/>
              <w:ind w:right="-1"/>
              <w:rPr>
                <w:sz w:val="24"/>
                <w:szCs w:val="24"/>
                <w:lang w:val="ro-MO"/>
              </w:rPr>
            </w:pPr>
            <w:r w:rsidRPr="008A2662">
              <w:rPr>
                <w:sz w:val="24"/>
                <w:szCs w:val="24"/>
                <w:lang w:val="ro-MO"/>
              </w:rPr>
              <w:t>Educaţia igienică a copiilor în colectivităţile organizate de copii. Organizarea lecţiilor de igienă orală cu copiii de diferite vârste în grupe de copii şi în clase.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 xml:space="preserve">Metodele de igienizare a cavităţii orale. Periajului dentar. </w:t>
            </w:r>
          </w:p>
          <w:p w:rsidR="0088111E" w:rsidRPr="008A2662" w:rsidRDefault="0088111E" w:rsidP="00D66E0E">
            <w:pPr>
              <w:spacing w:line="276" w:lineRule="auto"/>
              <w:rPr>
                <w:sz w:val="24"/>
                <w:szCs w:val="24"/>
                <w:lang w:val="ro-MO"/>
              </w:rPr>
            </w:pPr>
            <w:r w:rsidRPr="008A2662">
              <w:rPr>
                <w:sz w:val="24"/>
                <w:szCs w:val="24"/>
                <w:lang w:val="ro-MO"/>
              </w:rPr>
              <w:t>Metodele de control individual al periajului dentar. Revelatorii de placă bacteriană. Periajul dentar individual şi metodele de control. Instruirea practică a copiilor (în cabinetul de igienă) în grădiniţa de copiii.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Selectarea remediilor de igienă orală. Componenţa, proprietăţile pastelor de dinţi şi a altor remedii de igienă contemporane. Instruirea individuală a periajului dentar şi a metodelor de control în condiţiile şcolii, liceului, internatului etc.</w:t>
            </w:r>
          </w:p>
        </w:tc>
        <w:tc>
          <w:tcPr>
            <w:tcW w:w="1202" w:type="dxa"/>
            <w:vAlign w:val="center"/>
          </w:tcPr>
          <w:p w:rsidR="0088111E" w:rsidRPr="008A2662" w:rsidRDefault="0088111E" w:rsidP="0088111E">
            <w:pPr>
              <w:spacing w:line="276" w:lineRule="auto"/>
              <w:jc w:val="center"/>
              <w:rPr>
                <w:sz w:val="24"/>
                <w:szCs w:val="24"/>
                <w:lang w:val="ro-MO"/>
              </w:rPr>
            </w:pP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Biofilmul dentar. Formarea, compoziția, Metode de control al biofilmului dentar.</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Etiologia și patogenia cariei dentare. Cariarezistenţa şi cariareceptivitatea. Factorii de risc pentru apariţia cariei dentare.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 xml:space="preserve">Compoziţia chimică a ţesuturilor dentare. Procesele de mineralizare, de demineralizare şi remineralizare. Modificările structurale şi </w:t>
            </w:r>
            <w:r w:rsidRPr="008A2662">
              <w:rPr>
                <w:sz w:val="24"/>
                <w:szCs w:val="24"/>
                <w:lang w:val="ro-MO"/>
              </w:rPr>
              <w:lastRenderedPageBreak/>
              <w:t>chimice ale smalţului provocate de caria dentară. Compoziţia, funcţiile şi rolul salivei în menţinerea proceselor fiziologice în cavitatea bucală.</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lastRenderedPageBreak/>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Prevenirea primară a cariei dentare. Metodele şi remediile de prevenire endogenă a cariei dentare la copii în perioada de formare a ţesuturilor dentare.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Metodele şi remediile de prevenire exogenă a cariei dentare.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Acţiunea compuşilor fluorului asupra ţesuturilor dure dentare. Rolul compușilor fluorului în prevenirea cariei dentare. Eficiența preparatelor non-fluorate în prevenirea cariei dentare.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Sigilarea fosetelor şi fisurilor dentare. Materialele şi metodele.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Rolul alimentării în prevenirea principalelor afecţiuni orale. Influenţa macro- şi microelementelor asupra ţesuturilor dure dentare.</w:t>
            </w:r>
          </w:p>
        </w:tc>
        <w:tc>
          <w:tcPr>
            <w:tcW w:w="1202" w:type="dxa"/>
            <w:vAlign w:val="center"/>
          </w:tcPr>
          <w:p w:rsidR="0088111E" w:rsidRPr="008A2662" w:rsidRDefault="0088111E" w:rsidP="00D66E0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D66E0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Factorii de risc în afectarea ţesuturilor parodonţiului.</w:t>
            </w:r>
            <w:r w:rsidRPr="008A2662">
              <w:rPr>
                <w:color w:val="000000"/>
                <w:sz w:val="24"/>
                <w:szCs w:val="24"/>
                <w:lang w:val="ro-MO"/>
              </w:rPr>
              <w:t xml:space="preserve"> Prevenirea afecţiunilor parodonţiului la copii de diferite vârste. </w:t>
            </w:r>
            <w:r w:rsidRPr="008A2662">
              <w:rPr>
                <w:sz w:val="24"/>
                <w:szCs w:val="24"/>
                <w:lang w:val="ro-MO"/>
              </w:rPr>
              <w:t>Indicii frecvenţei şi intensităţii afecţiunilor parodonţiului.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color w:val="000000"/>
                <w:sz w:val="24"/>
                <w:szCs w:val="24"/>
                <w:lang w:val="ro-MO"/>
              </w:rPr>
              <w:t>Prevenirea afecţiunilor mucoasei cavităţii bucale la copii.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color w:val="000000"/>
                <w:sz w:val="24"/>
                <w:szCs w:val="24"/>
                <w:lang w:val="ro-MO"/>
              </w:rPr>
              <w:t>Prevenirea afecţiunilor necarioase la copii.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tabs>
                <w:tab w:val="left" w:pos="0"/>
                <w:tab w:val="left" w:pos="9639"/>
              </w:tabs>
              <w:ind w:right="-1"/>
              <w:rPr>
                <w:sz w:val="24"/>
                <w:szCs w:val="24"/>
                <w:lang w:val="ro-MO"/>
              </w:rPr>
            </w:pPr>
            <w:r w:rsidRPr="008A2662">
              <w:rPr>
                <w:sz w:val="24"/>
                <w:szCs w:val="24"/>
                <w:lang w:val="ro-MO"/>
              </w:rPr>
              <w:t>Prevenirea cariei dentare şi afecţiunilor parodonţiului la copii cu anomalii dento-alveolare şi purtători de aparate ortodontice.</w:t>
            </w:r>
            <w:r w:rsidRPr="008A2662">
              <w:rPr>
                <w:color w:val="000000"/>
                <w:sz w:val="24"/>
                <w:szCs w:val="24"/>
                <w:lang w:val="ro-MO"/>
              </w:rPr>
              <w:t xml:space="preserve"> Prevenirea anomaliilor dento-maxilare.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Particularitățile prevenirii afecțiunilor cavității orale la copiii cu dizabilități.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Căile şi metodele de realizare a strategiei OMS în stomatologie. Indicatorii de apreciere a stării sănătății orale propuși de OMS. Programele naţionale de sănătate orală. Prevenirea afecţiunilor orale în colectivităţi organizate de copii. Evaluarea eficienței programelor de sănătate orală. Experienţa aplicării programelor de sănătate orală în diferite ţări.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highlight w:val="yellow"/>
                <w:lang w:val="ro-MO"/>
              </w:rPr>
            </w:pPr>
            <w:r w:rsidRPr="008A2662">
              <w:rPr>
                <w:sz w:val="24"/>
                <w:szCs w:val="24"/>
                <w:lang w:val="ro-MO"/>
              </w:rPr>
              <w:t xml:space="preserve">Perioadele de vârstă la copii. Grupele de sănătate. </w:t>
            </w:r>
            <w:r w:rsidRPr="008A2662">
              <w:rPr>
                <w:color w:val="000000"/>
                <w:sz w:val="24"/>
                <w:szCs w:val="24"/>
                <w:lang w:val="ro-MO"/>
              </w:rPr>
              <w:t>Particularităţile anatomo-fiziologice ale regiunii maxilo-faciale la copii.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color w:val="000000"/>
                <w:sz w:val="24"/>
                <w:szCs w:val="24"/>
                <w:lang w:val="ro-MO"/>
              </w:rPr>
            </w:pPr>
            <w:r w:rsidRPr="008A2662">
              <w:rPr>
                <w:color w:val="000000"/>
                <w:sz w:val="24"/>
                <w:szCs w:val="24"/>
                <w:lang w:val="ro-MO"/>
              </w:rPr>
              <w:t>Anatomia, fiziologia sistemului dento-maxilar în perioada de dezvoltare. Creşterea şi dezvoltarea facială. Dezvoltarea ocluziei dentare. Funcţiile sistemului dento-maxilar, particularităţile de vârstă.</w:t>
            </w:r>
            <w:r w:rsidRPr="008A2662">
              <w:rPr>
                <w:sz w:val="24"/>
                <w:szCs w:val="24"/>
                <w:lang w:val="ro-MO"/>
              </w:rPr>
              <w:t xml:space="preserve"> Particularităţile anatomo-morfologice ale dinţilor temporari şi permanenţi. Sructura ţesuturilor dure a dinţilor: a smalţului, dentinei, cementului. Particularităţile structurale ale ţesuturilor dure a dinţilor temporari şi permanenţi în diferite perioade de dezvoltare.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color w:val="000000"/>
                <w:sz w:val="24"/>
                <w:szCs w:val="24"/>
                <w:lang w:val="ro-MO"/>
              </w:rPr>
            </w:pPr>
            <w:r w:rsidRPr="008A2662">
              <w:rPr>
                <w:color w:val="000000"/>
                <w:sz w:val="24"/>
                <w:szCs w:val="24"/>
                <w:lang w:val="ro-MO"/>
              </w:rPr>
              <w:t xml:space="preserve">Dezvoltarea feţei şi a maxilarelor. Odontigeneza. Factori genetici şi de mediu care influenţează odontogeneza. </w:t>
            </w:r>
          </w:p>
          <w:p w:rsidR="0088111E" w:rsidRPr="008A2662" w:rsidRDefault="0088111E" w:rsidP="00D66E0E">
            <w:pPr>
              <w:spacing w:line="276" w:lineRule="auto"/>
              <w:rPr>
                <w:color w:val="000000"/>
                <w:sz w:val="24"/>
                <w:szCs w:val="24"/>
                <w:lang w:val="ro-MO"/>
              </w:rPr>
            </w:pPr>
            <w:r w:rsidRPr="008A2662">
              <w:rPr>
                <w:color w:val="000000"/>
                <w:sz w:val="24"/>
                <w:szCs w:val="24"/>
                <w:lang w:val="ro-MO"/>
              </w:rPr>
              <w:t>Succesiunea şi termenii de erupere a dinţilor temporari. Eruperea precoce şi întârziată. Dinţii neonatali.</w:t>
            </w:r>
            <w:r w:rsidRPr="008A2662">
              <w:rPr>
                <w:sz w:val="24"/>
                <w:szCs w:val="24"/>
                <w:lang w:val="ro-MO"/>
              </w:rPr>
              <w:t xml:space="preserve"> </w:t>
            </w:r>
            <w:r w:rsidRPr="008A2662">
              <w:rPr>
                <w:color w:val="000000"/>
                <w:sz w:val="24"/>
                <w:szCs w:val="24"/>
                <w:lang w:val="ro-MO"/>
              </w:rPr>
              <w:t xml:space="preserve">Tulburări  ale  erupției  dentare:  pericoronarita,  hematomul,  chistul,  sechestrul  de  erupție (diagnostic și tratament).  </w:t>
            </w:r>
          </w:p>
          <w:p w:rsidR="0088111E" w:rsidRPr="008A2662" w:rsidRDefault="0088111E" w:rsidP="00D66E0E">
            <w:pPr>
              <w:spacing w:line="276" w:lineRule="auto"/>
              <w:rPr>
                <w:color w:val="000000"/>
                <w:sz w:val="24"/>
                <w:szCs w:val="24"/>
                <w:lang w:val="ro-MO"/>
              </w:rPr>
            </w:pPr>
            <w:r w:rsidRPr="008A2662">
              <w:rPr>
                <w:color w:val="000000"/>
                <w:sz w:val="24"/>
                <w:szCs w:val="24"/>
                <w:lang w:val="ro-MO"/>
              </w:rPr>
              <w:t xml:space="preserve">Termenii de formare a rădăcinilor dinţilor temporari. Zona de creştere a rădăcinii dintelui. </w:t>
            </w:r>
          </w:p>
          <w:p w:rsidR="0088111E" w:rsidRPr="008A2662" w:rsidRDefault="0088111E" w:rsidP="00D66E0E">
            <w:pPr>
              <w:spacing w:line="276" w:lineRule="auto"/>
              <w:rPr>
                <w:color w:val="000000"/>
                <w:sz w:val="24"/>
                <w:szCs w:val="24"/>
                <w:lang w:val="ro-MO"/>
              </w:rPr>
            </w:pPr>
            <w:r w:rsidRPr="008A2662">
              <w:rPr>
                <w:color w:val="000000"/>
                <w:sz w:val="24"/>
                <w:szCs w:val="24"/>
                <w:lang w:val="ro-MO"/>
              </w:rPr>
              <w:t>Termenii de rezorbţie a rădăcinilor dinţilor temporari în normă şi patologie. Termenii de erupere a dinţilor permanenţi şi de formare a rădăcinilor în normă şi patologie. Accelerarea şi eruperea dinţilor.</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color w:val="000000"/>
                <w:sz w:val="24"/>
                <w:szCs w:val="24"/>
                <w:lang w:val="ro-MO"/>
              </w:rPr>
            </w:pPr>
            <w:r w:rsidRPr="008A2662">
              <w:rPr>
                <w:color w:val="000000"/>
                <w:sz w:val="24"/>
                <w:szCs w:val="24"/>
                <w:lang w:val="ro-MO"/>
              </w:rPr>
              <w:t xml:space="preserve">Dezvoltarea psihică a copilului. Managementul comportamental al copiilor. </w:t>
            </w:r>
          </w:p>
          <w:p w:rsidR="0088111E" w:rsidRPr="008A2662" w:rsidRDefault="0088111E" w:rsidP="00D66E0E">
            <w:pPr>
              <w:spacing w:line="276" w:lineRule="auto"/>
              <w:rPr>
                <w:color w:val="000000"/>
                <w:sz w:val="24"/>
                <w:szCs w:val="24"/>
                <w:lang w:val="ro-MO"/>
              </w:rPr>
            </w:pPr>
            <w:r w:rsidRPr="008A2662">
              <w:rPr>
                <w:color w:val="000000"/>
                <w:sz w:val="24"/>
                <w:szCs w:val="24"/>
                <w:lang w:val="ro-MO"/>
              </w:rPr>
              <w:t>Frica,  anxietatea,  fobia  în  cabinetul  stomatologic.  Tipare  comportamentale  la  copil  și adolescent. Scale de evaluare a comportamentului.</w:t>
            </w:r>
            <w:r w:rsidRPr="008A2662">
              <w:rPr>
                <w:sz w:val="24"/>
                <w:szCs w:val="24"/>
                <w:lang w:val="ro-MO"/>
              </w:rPr>
              <w:t xml:space="preserve"> </w:t>
            </w:r>
            <w:r w:rsidRPr="008A2662">
              <w:rPr>
                <w:color w:val="000000"/>
                <w:sz w:val="24"/>
                <w:szCs w:val="24"/>
                <w:lang w:val="ro-MO"/>
              </w:rPr>
              <w:t xml:space="preserve">Pregătirea copilului către tratamentul stomatologic: convorbirea, pregătirea sedativă, anestezia locală şi generală etc. Metode de abordare farmacologice şi non-farmacologice.  </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 xml:space="preserve">Metodologia întocmirii fișei de observație clinică </w:t>
            </w:r>
          </w:p>
          <w:p w:rsidR="0088111E" w:rsidRPr="008A2662" w:rsidRDefault="0088111E" w:rsidP="00D66E0E">
            <w:pPr>
              <w:spacing w:line="276" w:lineRule="auto"/>
              <w:rPr>
                <w:sz w:val="24"/>
                <w:szCs w:val="24"/>
                <w:lang w:val="ro-MO"/>
              </w:rPr>
            </w:pPr>
            <w:r w:rsidRPr="008A2662">
              <w:rPr>
                <w:sz w:val="24"/>
                <w:szCs w:val="24"/>
                <w:lang w:val="ro-MO"/>
              </w:rPr>
              <w:t xml:space="preserve">•  Anamneza, antecedentele fiziologice, patologice personale și cele heredo-colaterale   </w:t>
            </w:r>
          </w:p>
          <w:p w:rsidR="0088111E" w:rsidRPr="008A2662" w:rsidRDefault="0088111E" w:rsidP="00D66E0E">
            <w:pPr>
              <w:spacing w:line="276" w:lineRule="auto"/>
              <w:rPr>
                <w:sz w:val="24"/>
                <w:szCs w:val="24"/>
                <w:lang w:val="ro-MO"/>
              </w:rPr>
            </w:pPr>
            <w:r w:rsidRPr="008A2662">
              <w:rPr>
                <w:sz w:val="24"/>
                <w:szCs w:val="24"/>
                <w:lang w:val="ro-MO"/>
              </w:rPr>
              <w:t xml:space="preserve">•  Rolul examenului clinic complet exobucal și </w:t>
            </w:r>
            <w:r w:rsidRPr="008A2662">
              <w:rPr>
                <w:sz w:val="24"/>
                <w:szCs w:val="24"/>
                <w:lang w:val="ro-MO"/>
              </w:rPr>
              <w:lastRenderedPageBreak/>
              <w:t xml:space="preserve">endobucal  </w:t>
            </w:r>
          </w:p>
          <w:p w:rsidR="0088111E" w:rsidRPr="008A2662" w:rsidRDefault="0088111E" w:rsidP="00D66E0E">
            <w:pPr>
              <w:spacing w:line="276" w:lineRule="auto"/>
              <w:rPr>
                <w:sz w:val="24"/>
                <w:szCs w:val="24"/>
                <w:lang w:val="ro-MO"/>
              </w:rPr>
            </w:pPr>
            <w:r w:rsidRPr="008A2662">
              <w:rPr>
                <w:sz w:val="24"/>
                <w:szCs w:val="24"/>
                <w:lang w:val="ro-MO"/>
              </w:rPr>
              <w:t xml:space="preserve">•  Metode  clasice  de  examinare  (inspecția,  palparea,  examenul  radiologic,  alte  teste complementare) </w:t>
            </w:r>
          </w:p>
          <w:p w:rsidR="0088111E" w:rsidRPr="008A2662" w:rsidRDefault="0088111E" w:rsidP="00D66E0E">
            <w:pPr>
              <w:spacing w:line="276" w:lineRule="auto"/>
              <w:rPr>
                <w:sz w:val="24"/>
                <w:szCs w:val="24"/>
                <w:lang w:val="ro-MO"/>
              </w:rPr>
            </w:pPr>
            <w:r w:rsidRPr="008A2662">
              <w:rPr>
                <w:sz w:val="24"/>
                <w:szCs w:val="24"/>
                <w:lang w:val="ro-MO"/>
              </w:rPr>
              <w:t xml:space="preserve">•  Metode moderne de investigare (transiluminarea, magnificația, evaluarea riscului la carie, Rx digitala, etc.). Examenul radiologic în </w:t>
            </w:r>
            <w:r w:rsidRPr="008A2662">
              <w:rPr>
                <w:color w:val="000000"/>
                <w:sz w:val="24"/>
                <w:szCs w:val="24"/>
                <w:lang w:val="ro-MO"/>
              </w:rPr>
              <w:t>pedodonţie</w:t>
            </w:r>
            <w:r w:rsidRPr="008A2662">
              <w:rPr>
                <w:sz w:val="24"/>
                <w:szCs w:val="24"/>
                <w:lang w:val="ro-MO"/>
              </w:rPr>
              <w:t>. Metode cu film intraorale. Examenul fotografic. Examenul radiologic cu film extraoral. Ortopantomografia. Tomografia. Tehnici de execuţie şi posibilităţi de interpretare. Avantaje şi dezavantaje.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lastRenderedPageBreak/>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color w:val="000000"/>
                <w:sz w:val="24"/>
                <w:szCs w:val="24"/>
                <w:lang w:val="ro-MO"/>
              </w:rPr>
            </w:pPr>
            <w:r w:rsidRPr="008A2662">
              <w:rPr>
                <w:sz w:val="24"/>
                <w:szCs w:val="24"/>
                <w:lang w:val="ro-MO"/>
              </w:rPr>
              <w:t>Clasificarea cariei dentare. Particularităţile evoluţiei clinice şi ale diagnosticului cariei dinţilor temporari.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Particularităţile evoluţiei clinice şi ale diagnosticului cariei dinţilor permanenţi.</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Tratamentul neoperator a formelor incipiente a cariei dinţilor temporari şi permanenţi la copii de diferite vârste.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trHeight w:val="64"/>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spacing w:line="276" w:lineRule="auto"/>
              <w:rPr>
                <w:sz w:val="24"/>
                <w:szCs w:val="24"/>
                <w:lang w:val="ro-MO"/>
              </w:rPr>
            </w:pPr>
            <w:r w:rsidRPr="008A2662">
              <w:rPr>
                <w:sz w:val="24"/>
                <w:szCs w:val="24"/>
                <w:lang w:val="ro-MO"/>
              </w:rPr>
              <w:t>Tratamentul operator a cariei dinţilor temporari şi permanenţi la copii. Tehnica  Atraumatică  Restauratoare  (ART):  definiție,  indicații,  principii  de  tratament, tehnică de lucru. Materialele de obturaţie în practica pedodontică. Selectarea materialelor de obturaţie.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numPr>
                <w:ilvl w:val="0"/>
                <w:numId w:val="5"/>
              </w:numPr>
              <w:spacing w:line="276" w:lineRule="auto"/>
              <w:jc w:val="center"/>
              <w:rPr>
                <w:sz w:val="24"/>
                <w:szCs w:val="24"/>
                <w:lang w:val="ro-MO"/>
              </w:rPr>
            </w:pPr>
          </w:p>
        </w:tc>
        <w:tc>
          <w:tcPr>
            <w:tcW w:w="4961" w:type="dxa"/>
            <w:vAlign w:val="center"/>
          </w:tcPr>
          <w:p w:rsidR="0088111E" w:rsidRPr="008A2662" w:rsidRDefault="0088111E" w:rsidP="00D66E0E">
            <w:pPr>
              <w:tabs>
                <w:tab w:val="left" w:pos="0"/>
                <w:tab w:val="left" w:pos="9639"/>
              </w:tabs>
              <w:ind w:right="-1"/>
              <w:rPr>
                <w:sz w:val="24"/>
                <w:szCs w:val="24"/>
                <w:lang w:val="ro-MO"/>
              </w:rPr>
            </w:pPr>
            <w:r w:rsidRPr="008A2662">
              <w:rPr>
                <w:sz w:val="24"/>
                <w:szCs w:val="24"/>
                <w:lang w:val="ro-MO"/>
              </w:rPr>
              <w:t>Particularităţile tratamentului cariei profunde. Aprecierea eficienţei tratamentului cariei dentare la copii. Erorile şi complicaţiile în diagnosticul şi tratamentul cariei dentare la copii. Prezentarea cazurilor climice.</w:t>
            </w: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5</w:t>
            </w:r>
          </w:p>
        </w:tc>
        <w:tc>
          <w:tcPr>
            <w:tcW w:w="1279" w:type="dxa"/>
            <w:vAlign w:val="center"/>
          </w:tcPr>
          <w:p w:rsidR="0088111E" w:rsidRPr="008A2662" w:rsidRDefault="0088111E" w:rsidP="0088111E">
            <w:pPr>
              <w:jc w:val="center"/>
              <w:rPr>
                <w:lang w:val="ro-MO"/>
              </w:rPr>
            </w:pPr>
            <w:r w:rsidRPr="008A2662">
              <w:rPr>
                <w:sz w:val="24"/>
                <w:szCs w:val="24"/>
                <w:lang w:val="ro-MO"/>
              </w:rPr>
              <w:t>29</w:t>
            </w:r>
          </w:p>
        </w:tc>
      </w:tr>
      <w:tr w:rsidR="0088111E" w:rsidRPr="008A2662" w:rsidTr="00D66E0E">
        <w:trPr>
          <w:jc w:val="center"/>
        </w:trPr>
        <w:tc>
          <w:tcPr>
            <w:tcW w:w="642" w:type="dxa"/>
            <w:vAlign w:val="center"/>
          </w:tcPr>
          <w:p w:rsidR="0088111E" w:rsidRPr="008A2662" w:rsidRDefault="0088111E" w:rsidP="0088111E">
            <w:pPr>
              <w:spacing w:line="276" w:lineRule="auto"/>
              <w:jc w:val="center"/>
              <w:rPr>
                <w:sz w:val="24"/>
                <w:szCs w:val="24"/>
                <w:lang w:val="ro-MO"/>
              </w:rPr>
            </w:pPr>
          </w:p>
        </w:tc>
        <w:tc>
          <w:tcPr>
            <w:tcW w:w="4961" w:type="dxa"/>
            <w:vAlign w:val="center"/>
          </w:tcPr>
          <w:p w:rsidR="0088111E" w:rsidRPr="008A2662" w:rsidRDefault="0088111E" w:rsidP="00D66E0E">
            <w:pPr>
              <w:tabs>
                <w:tab w:val="left" w:pos="0"/>
                <w:tab w:val="left" w:pos="9639"/>
              </w:tabs>
              <w:ind w:right="-1"/>
              <w:rPr>
                <w:sz w:val="24"/>
                <w:szCs w:val="24"/>
                <w:lang w:val="ro-MO"/>
              </w:rPr>
            </w:pPr>
          </w:p>
        </w:tc>
        <w:tc>
          <w:tcPr>
            <w:tcW w:w="1202"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30</w:t>
            </w:r>
          </w:p>
        </w:tc>
        <w:tc>
          <w:tcPr>
            <w:tcW w:w="1276"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30</w:t>
            </w:r>
          </w:p>
        </w:tc>
        <w:tc>
          <w:tcPr>
            <w:tcW w:w="1134"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150</w:t>
            </w:r>
          </w:p>
        </w:tc>
        <w:tc>
          <w:tcPr>
            <w:tcW w:w="1279" w:type="dxa"/>
            <w:vAlign w:val="center"/>
          </w:tcPr>
          <w:p w:rsidR="0088111E" w:rsidRPr="008A2662" w:rsidRDefault="0088111E" w:rsidP="0088111E">
            <w:pPr>
              <w:jc w:val="center"/>
              <w:rPr>
                <w:sz w:val="24"/>
                <w:szCs w:val="24"/>
                <w:lang w:val="ro-MO"/>
              </w:rPr>
            </w:pPr>
            <w:r w:rsidRPr="008A2662">
              <w:rPr>
                <w:sz w:val="24"/>
                <w:szCs w:val="24"/>
                <w:lang w:val="ro-MO"/>
              </w:rPr>
              <w:t>870</w:t>
            </w:r>
          </w:p>
        </w:tc>
      </w:tr>
      <w:tr w:rsidR="0088111E" w:rsidRPr="008A2662" w:rsidTr="00D66E0E">
        <w:trPr>
          <w:trHeight w:val="341"/>
          <w:jc w:val="center"/>
        </w:trPr>
        <w:tc>
          <w:tcPr>
            <w:tcW w:w="5603" w:type="dxa"/>
            <w:gridSpan w:val="2"/>
            <w:vAlign w:val="center"/>
          </w:tcPr>
          <w:p w:rsidR="0088111E" w:rsidRPr="008A2662" w:rsidRDefault="0088111E" w:rsidP="00D66E0E">
            <w:pPr>
              <w:spacing w:line="276" w:lineRule="auto"/>
              <w:rPr>
                <w:sz w:val="24"/>
                <w:szCs w:val="24"/>
                <w:lang w:val="ro-MO"/>
              </w:rPr>
            </w:pPr>
            <w:r w:rsidRPr="008A2662">
              <w:rPr>
                <w:sz w:val="24"/>
                <w:szCs w:val="24"/>
                <w:lang w:val="ro-MO"/>
              </w:rPr>
              <w:t>În total 1080</w:t>
            </w:r>
          </w:p>
        </w:tc>
        <w:tc>
          <w:tcPr>
            <w:tcW w:w="3612" w:type="dxa"/>
            <w:gridSpan w:val="3"/>
            <w:vAlign w:val="center"/>
          </w:tcPr>
          <w:p w:rsidR="0088111E" w:rsidRPr="008A2662" w:rsidRDefault="0088111E" w:rsidP="0088111E">
            <w:pPr>
              <w:spacing w:line="276" w:lineRule="auto"/>
              <w:jc w:val="center"/>
              <w:rPr>
                <w:sz w:val="24"/>
                <w:szCs w:val="24"/>
                <w:lang w:val="ro-MO"/>
              </w:rPr>
            </w:pPr>
            <w:r w:rsidRPr="008A2662">
              <w:rPr>
                <w:sz w:val="24"/>
                <w:szCs w:val="24"/>
                <w:lang w:val="ro-MO"/>
              </w:rPr>
              <w:t>210</w:t>
            </w:r>
          </w:p>
        </w:tc>
        <w:tc>
          <w:tcPr>
            <w:tcW w:w="1279" w:type="dxa"/>
            <w:vAlign w:val="center"/>
          </w:tcPr>
          <w:p w:rsidR="0088111E" w:rsidRPr="008A2662" w:rsidRDefault="0088111E" w:rsidP="0088111E">
            <w:pPr>
              <w:spacing w:line="276" w:lineRule="auto"/>
              <w:jc w:val="center"/>
              <w:rPr>
                <w:sz w:val="24"/>
                <w:szCs w:val="24"/>
                <w:lang w:val="ro-MO"/>
              </w:rPr>
            </w:pPr>
            <w:r w:rsidRPr="008A2662">
              <w:rPr>
                <w:sz w:val="24"/>
                <w:szCs w:val="24"/>
                <w:lang w:val="ro-MO"/>
              </w:rPr>
              <w:t>870</w:t>
            </w:r>
          </w:p>
        </w:tc>
      </w:tr>
    </w:tbl>
    <w:p w:rsidR="0088111E" w:rsidRPr="0088111E" w:rsidRDefault="0088111E" w:rsidP="0088111E">
      <w:pPr>
        <w:rPr>
          <w:sz w:val="24"/>
          <w:lang w:val="ro-MO"/>
        </w:rPr>
      </w:pPr>
    </w:p>
    <w:sectPr w:rsidR="0088111E" w:rsidRPr="0088111E" w:rsidSect="00823EED">
      <w:headerReference w:type="default" r:id="rId8"/>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ED" w:rsidRPr="000A5861" w:rsidRDefault="00823EED" w:rsidP="00823EED">
      <w:r>
        <w:separator/>
      </w:r>
    </w:p>
  </w:endnote>
  <w:endnote w:type="continuationSeparator" w:id="0">
    <w:p w:rsidR="00823EED" w:rsidRPr="000A5861" w:rsidRDefault="00823EED" w:rsidP="00823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ED" w:rsidRPr="000A5861" w:rsidRDefault="00823EED" w:rsidP="00823EED">
      <w:r>
        <w:separator/>
      </w:r>
    </w:p>
  </w:footnote>
  <w:footnote w:type="continuationSeparator" w:id="0">
    <w:p w:rsidR="00823EED" w:rsidRPr="000A5861" w:rsidRDefault="00823EED" w:rsidP="00823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5760"/>
      <w:gridCol w:w="2160"/>
    </w:tblGrid>
    <w:tr w:rsidR="00823EED" w:rsidRPr="00710634" w:rsidTr="00823EED">
      <w:trPr>
        <w:cantSplit/>
        <w:trHeight w:val="1309"/>
        <w:tblHeader/>
      </w:trPr>
      <w:tc>
        <w:tcPr>
          <w:tcW w:w="2700" w:type="dxa"/>
          <w:vAlign w:val="center"/>
        </w:tcPr>
        <w:p w:rsidR="00823EED" w:rsidRPr="00541BD3" w:rsidRDefault="00823EED" w:rsidP="001917A7">
          <w:pPr>
            <w:pStyle w:val="a3"/>
            <w:jc w:val="center"/>
            <w:rPr>
              <w:rFonts w:ascii="Arial" w:hAnsi="Arial" w:cs="Arial"/>
            </w:rPr>
          </w:pPr>
          <w:r>
            <w:rPr>
              <w:noProof/>
              <w:sz w:val="16"/>
              <w:szCs w:val="16"/>
            </w:rPr>
            <w:drawing>
              <wp:inline distT="0" distB="0" distL="0" distR="0">
                <wp:extent cx="563880" cy="8382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880" cy="838200"/>
                        </a:xfrm>
                        <a:prstGeom prst="rect">
                          <a:avLst/>
                        </a:prstGeom>
                        <a:noFill/>
                        <a:ln w="9525">
                          <a:noFill/>
                          <a:miter lim="800000"/>
                          <a:headEnd/>
                          <a:tailEnd/>
                        </a:ln>
                      </pic:spPr>
                    </pic:pic>
                  </a:graphicData>
                </a:graphic>
              </wp:inline>
            </w:drawing>
          </w:r>
        </w:p>
      </w:tc>
      <w:tc>
        <w:tcPr>
          <w:tcW w:w="5760" w:type="dxa"/>
          <w:vAlign w:val="center"/>
        </w:tcPr>
        <w:p w:rsidR="00823EED" w:rsidRDefault="00823EED" w:rsidP="00823EED">
          <w:pPr>
            <w:jc w:val="center"/>
            <w:rPr>
              <w:b/>
              <w:color w:val="000000"/>
              <w:sz w:val="24"/>
              <w:lang w:val="ro-MO"/>
            </w:rPr>
          </w:pPr>
          <w:r w:rsidRPr="008A2662">
            <w:rPr>
              <w:b/>
              <w:color w:val="000000"/>
              <w:sz w:val="24"/>
              <w:lang w:val="ro-MO"/>
            </w:rPr>
            <w:t xml:space="preserve">INSTITUȚIA PUBLICĂ </w:t>
          </w:r>
        </w:p>
        <w:p w:rsidR="00823EED" w:rsidRPr="008A2662" w:rsidRDefault="00823EED" w:rsidP="00823EED">
          <w:pPr>
            <w:spacing w:line="276" w:lineRule="auto"/>
            <w:jc w:val="center"/>
            <w:rPr>
              <w:b/>
              <w:color w:val="000000"/>
              <w:sz w:val="24"/>
              <w:lang w:val="ro-MO"/>
            </w:rPr>
          </w:pPr>
          <w:r w:rsidRPr="008A2662">
            <w:rPr>
              <w:b/>
              <w:color w:val="000000"/>
              <w:sz w:val="24"/>
              <w:lang w:val="ro-MO"/>
            </w:rPr>
            <w:t>UNIVERSITATEA DE STAT DE MEDICINĂ ŞI FARMACIE</w:t>
          </w:r>
        </w:p>
        <w:p w:rsidR="00823EED" w:rsidRDefault="00823EED" w:rsidP="00823EED">
          <w:pPr>
            <w:jc w:val="center"/>
            <w:rPr>
              <w:b/>
              <w:color w:val="000000"/>
              <w:sz w:val="24"/>
              <w:lang w:val="ro-MO"/>
            </w:rPr>
          </w:pPr>
          <w:r w:rsidRPr="008A2662">
            <w:rPr>
              <w:b/>
              <w:color w:val="000000"/>
              <w:sz w:val="24"/>
              <w:lang w:val="ro-MO"/>
            </w:rPr>
            <w:t>“NICOLAE TESTEMIŢANU”</w:t>
          </w:r>
        </w:p>
        <w:p w:rsidR="00823EED" w:rsidRPr="00823EED" w:rsidRDefault="00823EED" w:rsidP="00823EED">
          <w:pPr>
            <w:jc w:val="center"/>
            <w:rPr>
              <w:b/>
              <w:color w:val="000000"/>
              <w:sz w:val="24"/>
              <w:lang w:val="ro-MO"/>
            </w:rPr>
          </w:pPr>
          <w:r>
            <w:rPr>
              <w:b/>
              <w:color w:val="000000"/>
              <w:sz w:val="24"/>
              <w:lang w:val="ro-MO"/>
            </w:rPr>
            <w:t>FACULTATEA DE REZIDENȚIAT</w:t>
          </w:r>
        </w:p>
      </w:tc>
      <w:tc>
        <w:tcPr>
          <w:tcW w:w="2160" w:type="dxa"/>
          <w:vAlign w:val="center"/>
        </w:tcPr>
        <w:p w:rsidR="00823EED" w:rsidRPr="0061401F" w:rsidRDefault="00823EED" w:rsidP="001917A7">
          <w:pPr>
            <w:pStyle w:val="PaginaIntestazione"/>
            <w:rPr>
              <w:rStyle w:val="a7"/>
              <w:rFonts w:ascii="Arial" w:hAnsi="Arial" w:cs="Arial"/>
              <w:b w:val="0"/>
              <w:sz w:val="18"/>
              <w:szCs w:val="18"/>
            </w:rPr>
          </w:pPr>
          <w:r>
            <w:rPr>
              <w:rStyle w:val="a7"/>
              <w:rFonts w:ascii="Arial" w:hAnsi="Arial" w:cs="Arial"/>
              <w:b w:val="0"/>
              <w:sz w:val="18"/>
              <w:szCs w:val="18"/>
            </w:rPr>
            <w:t xml:space="preserve">Pag. </w:t>
          </w:r>
          <w:r w:rsidR="00F20844">
            <w:rPr>
              <w:rStyle w:val="a7"/>
              <w:rFonts w:ascii="Arial" w:hAnsi="Arial" w:cs="Arial"/>
              <w:b w:val="0"/>
              <w:sz w:val="18"/>
              <w:szCs w:val="18"/>
            </w:rPr>
            <w:fldChar w:fldCharType="begin"/>
          </w:r>
          <w:r>
            <w:rPr>
              <w:rStyle w:val="a7"/>
              <w:rFonts w:ascii="Arial" w:hAnsi="Arial" w:cs="Arial"/>
              <w:b w:val="0"/>
              <w:sz w:val="18"/>
              <w:szCs w:val="18"/>
            </w:rPr>
            <w:instrText xml:space="preserve"> PAGE  \* Arabic  \* MERGEFORMAT </w:instrText>
          </w:r>
          <w:r w:rsidR="00F20844">
            <w:rPr>
              <w:rStyle w:val="a7"/>
              <w:rFonts w:ascii="Arial" w:hAnsi="Arial" w:cs="Arial"/>
              <w:b w:val="0"/>
              <w:sz w:val="18"/>
              <w:szCs w:val="18"/>
            </w:rPr>
            <w:fldChar w:fldCharType="separate"/>
          </w:r>
          <w:r w:rsidR="00D66E0E">
            <w:rPr>
              <w:rStyle w:val="a7"/>
              <w:rFonts w:ascii="Arial" w:hAnsi="Arial" w:cs="Arial"/>
              <w:b w:val="0"/>
              <w:noProof/>
              <w:sz w:val="18"/>
              <w:szCs w:val="18"/>
            </w:rPr>
            <w:t>1</w:t>
          </w:r>
          <w:r w:rsidR="00F20844">
            <w:rPr>
              <w:rStyle w:val="a7"/>
              <w:rFonts w:ascii="Arial" w:hAnsi="Arial" w:cs="Arial"/>
              <w:b w:val="0"/>
              <w:sz w:val="18"/>
              <w:szCs w:val="18"/>
            </w:rPr>
            <w:fldChar w:fldCharType="end"/>
          </w:r>
          <w:r>
            <w:rPr>
              <w:rStyle w:val="a7"/>
              <w:rFonts w:ascii="Arial" w:hAnsi="Arial" w:cs="Arial"/>
              <w:b w:val="0"/>
              <w:sz w:val="18"/>
              <w:szCs w:val="18"/>
            </w:rPr>
            <w:t>/</w:t>
          </w:r>
          <w:fldSimple w:instr=" NUMPAGES   \* MERGEFORMAT ">
            <w:r w:rsidR="00D66E0E" w:rsidRPr="00D66E0E">
              <w:rPr>
                <w:rStyle w:val="a7"/>
                <w:rFonts w:ascii="Arial" w:hAnsi="Arial" w:cs="Arial"/>
                <w:b w:val="0"/>
                <w:noProof/>
                <w:sz w:val="18"/>
                <w:szCs w:val="18"/>
              </w:rPr>
              <w:t>4</w:t>
            </w:r>
          </w:fldSimple>
        </w:p>
      </w:tc>
    </w:tr>
  </w:tbl>
  <w:p w:rsidR="00823EED" w:rsidRDefault="00823E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58A"/>
    <w:multiLevelType w:val="hybridMultilevel"/>
    <w:tmpl w:val="16725F28"/>
    <w:lvl w:ilvl="0" w:tplc="C9C883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226BD"/>
    <w:multiLevelType w:val="hybridMultilevel"/>
    <w:tmpl w:val="DC344B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3246F"/>
    <w:multiLevelType w:val="hybridMultilevel"/>
    <w:tmpl w:val="D9E8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C05CEC"/>
    <w:multiLevelType w:val="hybridMultilevel"/>
    <w:tmpl w:val="4C527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631CB0"/>
    <w:multiLevelType w:val="singleLevel"/>
    <w:tmpl w:val="64F695A4"/>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23EED"/>
    <w:rsid w:val="00823EED"/>
    <w:rsid w:val="0088111E"/>
    <w:rsid w:val="00CB0C72"/>
    <w:rsid w:val="00D66E0E"/>
    <w:rsid w:val="00F2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3EED"/>
    <w:pPr>
      <w:tabs>
        <w:tab w:val="center" w:pos="4677"/>
        <w:tab w:val="right" w:pos="9355"/>
      </w:tabs>
    </w:pPr>
  </w:style>
  <w:style w:type="character" w:customStyle="1" w:styleId="a4">
    <w:name w:val="Верхний колонтитул Знак"/>
    <w:basedOn w:val="a0"/>
    <w:link w:val="a3"/>
    <w:rsid w:val="00823EED"/>
  </w:style>
  <w:style w:type="paragraph" w:styleId="a5">
    <w:name w:val="footer"/>
    <w:basedOn w:val="a"/>
    <w:link w:val="a6"/>
    <w:uiPriority w:val="99"/>
    <w:semiHidden/>
    <w:unhideWhenUsed/>
    <w:rsid w:val="00823EED"/>
    <w:pPr>
      <w:tabs>
        <w:tab w:val="center" w:pos="4677"/>
        <w:tab w:val="right" w:pos="9355"/>
      </w:tabs>
    </w:pPr>
  </w:style>
  <w:style w:type="character" w:customStyle="1" w:styleId="a6">
    <w:name w:val="Нижний колонтитул Знак"/>
    <w:basedOn w:val="a0"/>
    <w:link w:val="a5"/>
    <w:uiPriority w:val="99"/>
    <w:semiHidden/>
    <w:rsid w:val="00823EED"/>
  </w:style>
  <w:style w:type="character" w:styleId="a7">
    <w:name w:val="page number"/>
    <w:basedOn w:val="a0"/>
    <w:rsid w:val="00823EED"/>
  </w:style>
  <w:style w:type="paragraph" w:customStyle="1" w:styleId="PaginaIntestazione">
    <w:name w:val="Pagina Intestazione"/>
    <w:basedOn w:val="a3"/>
    <w:rsid w:val="00823EED"/>
    <w:pPr>
      <w:tabs>
        <w:tab w:val="clear" w:pos="4677"/>
        <w:tab w:val="clear" w:pos="9355"/>
        <w:tab w:val="center" w:pos="4819"/>
        <w:tab w:val="right" w:pos="9638"/>
      </w:tabs>
      <w:jc w:val="center"/>
    </w:pPr>
    <w:rPr>
      <w:b/>
      <w:caps/>
      <w:snapToGrid w:val="0"/>
      <w:lang w:val="it-IT" w:eastAsia="it-IT"/>
    </w:rPr>
  </w:style>
  <w:style w:type="paragraph" w:styleId="a8">
    <w:name w:val="Balloon Text"/>
    <w:basedOn w:val="a"/>
    <w:link w:val="a9"/>
    <w:uiPriority w:val="99"/>
    <w:semiHidden/>
    <w:unhideWhenUsed/>
    <w:rsid w:val="00823EED"/>
    <w:rPr>
      <w:rFonts w:ascii="Tahoma" w:hAnsi="Tahoma" w:cs="Tahoma"/>
      <w:sz w:val="16"/>
      <w:szCs w:val="16"/>
    </w:rPr>
  </w:style>
  <w:style w:type="character" w:customStyle="1" w:styleId="a9">
    <w:name w:val="Текст выноски Знак"/>
    <w:basedOn w:val="a0"/>
    <w:link w:val="a8"/>
    <w:uiPriority w:val="99"/>
    <w:semiHidden/>
    <w:rsid w:val="00823EED"/>
    <w:rPr>
      <w:rFonts w:ascii="Tahoma" w:hAnsi="Tahoma" w:cs="Tahoma"/>
      <w:sz w:val="16"/>
      <w:szCs w:val="16"/>
    </w:rPr>
  </w:style>
  <w:style w:type="paragraph" w:styleId="aa">
    <w:name w:val="List Paragraph"/>
    <w:basedOn w:val="a"/>
    <w:uiPriority w:val="34"/>
    <w:qFormat/>
    <w:rsid w:val="00823E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B598-2437-4D21-A131-50D6D889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2022-02-27T13:19:00Z</dcterms:created>
  <dcterms:modified xsi:type="dcterms:W3CDTF">2022-02-27T13:42:00Z</dcterms:modified>
</cp:coreProperties>
</file>