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ED" w:rsidRPr="008A2662" w:rsidRDefault="00823EED" w:rsidP="00823EE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o-MO"/>
        </w:rPr>
      </w:pPr>
      <w:r w:rsidRPr="008A2662">
        <w:rPr>
          <w:b/>
          <w:bCs/>
          <w:sz w:val="24"/>
          <w:szCs w:val="24"/>
          <w:lang w:val="ro-MO"/>
        </w:rPr>
        <w:t>PLANUL TEMATIC</w:t>
      </w:r>
    </w:p>
    <w:p w:rsidR="00823EED" w:rsidRPr="008A2662" w:rsidRDefault="00823EED" w:rsidP="00823EE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o-MO"/>
        </w:rPr>
      </w:pPr>
      <w:r w:rsidRPr="008A2662">
        <w:rPr>
          <w:b/>
          <w:bCs/>
          <w:sz w:val="24"/>
          <w:szCs w:val="24"/>
          <w:lang w:val="ro-MO"/>
        </w:rPr>
        <w:t>de instruire postuniversitară a rezidenţilor</w:t>
      </w:r>
    </w:p>
    <w:p w:rsidR="00823EED" w:rsidRDefault="00823EED" w:rsidP="00823EED">
      <w:pPr>
        <w:jc w:val="center"/>
        <w:rPr>
          <w:b/>
          <w:bCs/>
          <w:sz w:val="24"/>
          <w:szCs w:val="24"/>
          <w:lang w:val="ro-MO"/>
        </w:rPr>
      </w:pPr>
      <w:r w:rsidRPr="008A2662">
        <w:rPr>
          <w:b/>
          <w:bCs/>
          <w:sz w:val="24"/>
          <w:szCs w:val="24"/>
          <w:lang w:val="ro-MO"/>
        </w:rPr>
        <w:t xml:space="preserve">specialitatea </w:t>
      </w:r>
      <w:r w:rsidRPr="008A2662">
        <w:rPr>
          <w:b/>
          <w:color w:val="000000"/>
          <w:sz w:val="24"/>
          <w:szCs w:val="24"/>
          <w:lang w:val="ro-MO"/>
        </w:rPr>
        <w:t>Pedodonție</w:t>
      </w:r>
      <w:r w:rsidRPr="008A2662">
        <w:rPr>
          <w:b/>
          <w:bCs/>
          <w:sz w:val="24"/>
          <w:szCs w:val="24"/>
          <w:lang w:val="ro-MO"/>
        </w:rPr>
        <w:t xml:space="preserve"> (anul de studiu I</w:t>
      </w:r>
      <w:r w:rsidR="0062507C">
        <w:rPr>
          <w:b/>
          <w:bCs/>
          <w:sz w:val="24"/>
          <w:szCs w:val="24"/>
          <w:lang w:val="ro-MO"/>
        </w:rPr>
        <w:t>I</w:t>
      </w:r>
      <w:r w:rsidRPr="008A2662">
        <w:rPr>
          <w:b/>
          <w:bCs/>
          <w:sz w:val="24"/>
          <w:szCs w:val="24"/>
          <w:lang w:val="ro-MO"/>
        </w:rPr>
        <w:t>)</w:t>
      </w:r>
    </w:p>
    <w:p w:rsidR="0062507C" w:rsidRDefault="0062507C" w:rsidP="00823EED">
      <w:pPr>
        <w:jc w:val="center"/>
        <w:rPr>
          <w:b/>
          <w:bCs/>
          <w:sz w:val="24"/>
          <w:szCs w:val="24"/>
          <w:lang w:val="ro-MO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041"/>
        <w:gridCol w:w="1276"/>
        <w:gridCol w:w="1275"/>
        <w:gridCol w:w="1134"/>
        <w:gridCol w:w="1276"/>
      </w:tblGrid>
      <w:tr w:rsidR="0062507C" w:rsidRPr="008A2662" w:rsidTr="0062507C">
        <w:tc>
          <w:tcPr>
            <w:tcW w:w="630" w:type="dxa"/>
            <w:vMerge w:val="restart"/>
            <w:vAlign w:val="center"/>
          </w:tcPr>
          <w:p w:rsidR="0062507C" w:rsidRPr="0062507C" w:rsidRDefault="0062507C" w:rsidP="0062507C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62507C">
              <w:rPr>
                <w:b/>
                <w:sz w:val="24"/>
                <w:szCs w:val="24"/>
                <w:lang w:val="ro-MO"/>
              </w:rPr>
              <w:t>Nr</w:t>
            </w:r>
          </w:p>
        </w:tc>
        <w:tc>
          <w:tcPr>
            <w:tcW w:w="5041" w:type="dxa"/>
            <w:vMerge w:val="restart"/>
            <w:vAlign w:val="center"/>
          </w:tcPr>
          <w:p w:rsidR="0062507C" w:rsidRPr="0062507C" w:rsidRDefault="0062507C" w:rsidP="0062507C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62507C">
              <w:rPr>
                <w:b/>
                <w:sz w:val="24"/>
                <w:szCs w:val="24"/>
                <w:lang w:val="ro-MO"/>
              </w:rPr>
              <w:t>Tema</w:t>
            </w:r>
          </w:p>
        </w:tc>
        <w:tc>
          <w:tcPr>
            <w:tcW w:w="4961" w:type="dxa"/>
            <w:gridSpan w:val="4"/>
            <w:vAlign w:val="center"/>
          </w:tcPr>
          <w:p w:rsidR="0062507C" w:rsidRPr="0062507C" w:rsidRDefault="0062507C" w:rsidP="0062507C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62507C">
              <w:rPr>
                <w:b/>
                <w:sz w:val="24"/>
                <w:szCs w:val="24"/>
                <w:lang w:val="ro-MO"/>
              </w:rPr>
              <w:t>Numărul de ore</w:t>
            </w:r>
          </w:p>
        </w:tc>
      </w:tr>
      <w:tr w:rsidR="0062507C" w:rsidRPr="008A2662" w:rsidTr="0062507C">
        <w:tc>
          <w:tcPr>
            <w:tcW w:w="630" w:type="dxa"/>
            <w:vMerge/>
            <w:vAlign w:val="center"/>
          </w:tcPr>
          <w:p w:rsidR="0062507C" w:rsidRPr="0062507C" w:rsidRDefault="0062507C" w:rsidP="0062507C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5041" w:type="dxa"/>
            <w:vMerge/>
            <w:vAlign w:val="center"/>
          </w:tcPr>
          <w:p w:rsidR="0062507C" w:rsidRPr="0062507C" w:rsidRDefault="0062507C" w:rsidP="0062507C">
            <w:pPr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62507C" w:rsidRPr="0062507C" w:rsidRDefault="0062507C" w:rsidP="0062507C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62507C">
              <w:rPr>
                <w:b/>
                <w:sz w:val="24"/>
                <w:szCs w:val="24"/>
                <w:lang w:val="ro-MO"/>
              </w:rPr>
              <w:t>Prelegeri</w:t>
            </w:r>
          </w:p>
        </w:tc>
        <w:tc>
          <w:tcPr>
            <w:tcW w:w="1275" w:type="dxa"/>
            <w:vAlign w:val="center"/>
          </w:tcPr>
          <w:p w:rsidR="0062507C" w:rsidRPr="0062507C" w:rsidRDefault="0062507C" w:rsidP="0062507C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62507C">
              <w:rPr>
                <w:b/>
                <w:sz w:val="24"/>
                <w:szCs w:val="24"/>
                <w:lang w:val="ro-MO"/>
              </w:rPr>
              <w:t>Seminare</w:t>
            </w:r>
          </w:p>
        </w:tc>
        <w:tc>
          <w:tcPr>
            <w:tcW w:w="1134" w:type="dxa"/>
            <w:vAlign w:val="center"/>
          </w:tcPr>
          <w:p w:rsidR="0062507C" w:rsidRPr="0062507C" w:rsidRDefault="0062507C" w:rsidP="0062507C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62507C">
              <w:rPr>
                <w:b/>
                <w:sz w:val="24"/>
                <w:szCs w:val="24"/>
                <w:lang w:val="ro-MO"/>
              </w:rPr>
              <w:t>Lecţii practice</w:t>
            </w:r>
          </w:p>
        </w:tc>
        <w:tc>
          <w:tcPr>
            <w:tcW w:w="1276" w:type="dxa"/>
            <w:vAlign w:val="center"/>
          </w:tcPr>
          <w:p w:rsidR="0062507C" w:rsidRPr="0062507C" w:rsidRDefault="0062507C" w:rsidP="0062507C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62507C">
              <w:rPr>
                <w:b/>
                <w:sz w:val="24"/>
                <w:szCs w:val="24"/>
                <w:lang w:val="ro-MO"/>
              </w:rPr>
              <w:t>Activitate clinică</w:t>
            </w:r>
          </w:p>
        </w:tc>
      </w:tr>
      <w:tr w:rsidR="0062507C" w:rsidRPr="008A2662" w:rsidTr="0062507C">
        <w:tc>
          <w:tcPr>
            <w:tcW w:w="630" w:type="dxa"/>
            <w:vAlign w:val="center"/>
          </w:tcPr>
          <w:p w:rsidR="0062507C" w:rsidRPr="008A2662" w:rsidRDefault="0062507C" w:rsidP="0062507C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41" w:type="dxa"/>
            <w:vAlign w:val="center"/>
          </w:tcPr>
          <w:p w:rsidR="0062507C" w:rsidRPr="008A2662" w:rsidRDefault="0062507C" w:rsidP="0062507C">
            <w:pPr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Pulpitele dinţilor temporari. Clasificarea. Particularităţile structurale ale pulpei dinţilor temporari şi permanenţi la copii.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30</w:t>
            </w:r>
          </w:p>
        </w:tc>
      </w:tr>
      <w:tr w:rsidR="0062507C" w:rsidRPr="008A2662" w:rsidTr="0062507C">
        <w:tc>
          <w:tcPr>
            <w:tcW w:w="630" w:type="dxa"/>
            <w:vAlign w:val="center"/>
          </w:tcPr>
          <w:p w:rsidR="0062507C" w:rsidRPr="008A2662" w:rsidRDefault="0062507C" w:rsidP="0062507C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41" w:type="dxa"/>
            <w:vAlign w:val="center"/>
          </w:tcPr>
          <w:p w:rsidR="0062507C" w:rsidRPr="008A2662" w:rsidRDefault="0062507C" w:rsidP="0062507C">
            <w:pPr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Particularităţile evoluţiei clinice a formelor acute şi cronice exacerbate a pulpitelor dinţilor temporari.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30</w:t>
            </w:r>
          </w:p>
        </w:tc>
      </w:tr>
      <w:tr w:rsidR="0062507C" w:rsidRPr="008A2662" w:rsidTr="0062507C">
        <w:tc>
          <w:tcPr>
            <w:tcW w:w="630" w:type="dxa"/>
            <w:vAlign w:val="center"/>
          </w:tcPr>
          <w:p w:rsidR="0062507C" w:rsidRPr="008A2662" w:rsidRDefault="0062507C" w:rsidP="0062507C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41" w:type="dxa"/>
            <w:vAlign w:val="center"/>
          </w:tcPr>
          <w:p w:rsidR="0062507C" w:rsidRPr="008A2662" w:rsidRDefault="0062507C" w:rsidP="0062507C">
            <w:pPr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Particularităţile evoluţiei clinice a pulpitelor cronice a dinţilor temporari. Diagnosticul diferenţial al pulpitelor.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30</w:t>
            </w:r>
          </w:p>
        </w:tc>
      </w:tr>
      <w:tr w:rsidR="0062507C" w:rsidRPr="008A2662" w:rsidTr="0062507C">
        <w:trPr>
          <w:trHeight w:val="587"/>
        </w:trPr>
        <w:tc>
          <w:tcPr>
            <w:tcW w:w="630" w:type="dxa"/>
            <w:vAlign w:val="center"/>
          </w:tcPr>
          <w:p w:rsidR="0062507C" w:rsidRPr="008A2662" w:rsidRDefault="0062507C" w:rsidP="0062507C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41" w:type="dxa"/>
            <w:vAlign w:val="center"/>
          </w:tcPr>
          <w:p w:rsidR="0062507C" w:rsidRPr="008A2662" w:rsidRDefault="0062507C" w:rsidP="0062507C">
            <w:pPr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Particularităţile tratamentului pulpitelor dinţilor temporari la copii de diferite vârste.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30</w:t>
            </w:r>
          </w:p>
        </w:tc>
      </w:tr>
      <w:tr w:rsidR="0062507C" w:rsidRPr="008A2662" w:rsidTr="0062507C">
        <w:trPr>
          <w:trHeight w:val="457"/>
        </w:trPr>
        <w:tc>
          <w:tcPr>
            <w:tcW w:w="630" w:type="dxa"/>
            <w:vAlign w:val="center"/>
          </w:tcPr>
          <w:p w:rsidR="0062507C" w:rsidRPr="008A2662" w:rsidRDefault="0062507C" w:rsidP="0062507C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41" w:type="dxa"/>
            <w:vAlign w:val="center"/>
          </w:tcPr>
          <w:p w:rsidR="0062507C" w:rsidRPr="008A2662" w:rsidRDefault="0062507C" w:rsidP="0062507C">
            <w:pPr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Selectarea raţională a metodei de tratament a pulpitelor dinţilor temporari.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30</w:t>
            </w:r>
          </w:p>
        </w:tc>
      </w:tr>
      <w:tr w:rsidR="0062507C" w:rsidRPr="008A2662" w:rsidTr="0062507C">
        <w:tc>
          <w:tcPr>
            <w:tcW w:w="630" w:type="dxa"/>
            <w:vAlign w:val="center"/>
          </w:tcPr>
          <w:p w:rsidR="0062507C" w:rsidRPr="008A2662" w:rsidRDefault="0062507C" w:rsidP="0062507C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41" w:type="dxa"/>
            <w:vAlign w:val="center"/>
          </w:tcPr>
          <w:p w:rsidR="0062507C" w:rsidRPr="008A2662" w:rsidRDefault="0062507C" w:rsidP="0062507C">
            <w:pPr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Pulpitele dinţilor permanenţi la copii. Clasificarea. Particularităţile evoluţiei clinice a formelor acute şi cronice exacerbate a pulpitelor dinţilor permanenţi la copii de diferite vârste.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30</w:t>
            </w:r>
          </w:p>
        </w:tc>
      </w:tr>
      <w:tr w:rsidR="0062507C" w:rsidRPr="008A2662" w:rsidTr="0062507C">
        <w:tc>
          <w:tcPr>
            <w:tcW w:w="630" w:type="dxa"/>
            <w:vAlign w:val="center"/>
          </w:tcPr>
          <w:p w:rsidR="0062507C" w:rsidRPr="008A2662" w:rsidRDefault="0062507C" w:rsidP="0062507C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41" w:type="dxa"/>
            <w:vAlign w:val="center"/>
          </w:tcPr>
          <w:p w:rsidR="0062507C" w:rsidRPr="008A2662" w:rsidRDefault="0062507C" w:rsidP="0062507C">
            <w:pPr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Particularităţile evoluţiei clinice a formelor cronice a pulpitelor dinţilor permanenţi la copii. Diagnosticul diferenţial a pulpitelor la copii de diferite vârste.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30</w:t>
            </w:r>
          </w:p>
        </w:tc>
      </w:tr>
      <w:tr w:rsidR="0062507C" w:rsidRPr="008A2662" w:rsidTr="0062507C">
        <w:tc>
          <w:tcPr>
            <w:tcW w:w="630" w:type="dxa"/>
            <w:vAlign w:val="center"/>
          </w:tcPr>
          <w:p w:rsidR="0062507C" w:rsidRPr="008A2662" w:rsidRDefault="0062507C" w:rsidP="0062507C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41" w:type="dxa"/>
            <w:vAlign w:val="center"/>
          </w:tcPr>
          <w:p w:rsidR="0062507C" w:rsidRPr="008A2662" w:rsidRDefault="0062507C" w:rsidP="0062507C">
            <w:pPr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 xml:space="preserve">Particularităţile tratamentului pulpitelor dinţilor permanenţi la copii cu rădăcini incomplet formate. 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30</w:t>
            </w:r>
          </w:p>
        </w:tc>
      </w:tr>
      <w:tr w:rsidR="0062507C" w:rsidRPr="008A2662" w:rsidTr="0062507C">
        <w:tc>
          <w:tcPr>
            <w:tcW w:w="630" w:type="dxa"/>
            <w:vAlign w:val="center"/>
          </w:tcPr>
          <w:p w:rsidR="0062507C" w:rsidRPr="008A2662" w:rsidRDefault="0062507C" w:rsidP="0062507C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41" w:type="dxa"/>
            <w:vAlign w:val="center"/>
          </w:tcPr>
          <w:p w:rsidR="0062507C" w:rsidRPr="008A2662" w:rsidRDefault="0062507C" w:rsidP="0062507C">
            <w:pPr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Selectarea metodei de tratament a pulpitelor dinţilor permanenţi.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30</w:t>
            </w:r>
          </w:p>
        </w:tc>
      </w:tr>
      <w:tr w:rsidR="0062507C" w:rsidRPr="008A2662" w:rsidTr="0062507C">
        <w:tc>
          <w:tcPr>
            <w:tcW w:w="630" w:type="dxa"/>
            <w:vAlign w:val="center"/>
          </w:tcPr>
          <w:p w:rsidR="0062507C" w:rsidRPr="008A2662" w:rsidRDefault="0062507C" w:rsidP="0062507C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41" w:type="dxa"/>
            <w:vAlign w:val="center"/>
          </w:tcPr>
          <w:p w:rsidR="0062507C" w:rsidRPr="008A2662" w:rsidRDefault="0062507C" w:rsidP="0062507C">
            <w:pPr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Erori şi complicaţiile în diagnosticul şi tratamentul pulpitelor la copii.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30</w:t>
            </w:r>
          </w:p>
        </w:tc>
      </w:tr>
      <w:tr w:rsidR="0062507C" w:rsidRPr="008A2662" w:rsidTr="0062507C">
        <w:tc>
          <w:tcPr>
            <w:tcW w:w="630" w:type="dxa"/>
            <w:vAlign w:val="center"/>
          </w:tcPr>
          <w:p w:rsidR="0062507C" w:rsidRPr="008A2662" w:rsidRDefault="0062507C" w:rsidP="0062507C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41" w:type="dxa"/>
            <w:vAlign w:val="center"/>
          </w:tcPr>
          <w:p w:rsidR="0062507C" w:rsidRPr="008A2662" w:rsidRDefault="0062507C" w:rsidP="0062507C">
            <w:pPr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 xml:space="preserve"> Parodontita apicală la copii. Clasificarea. Particularităţile structurale ale parodonţiului apical la copii.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30</w:t>
            </w:r>
          </w:p>
        </w:tc>
      </w:tr>
      <w:tr w:rsidR="0062507C" w:rsidRPr="008A2662" w:rsidTr="0062507C">
        <w:tc>
          <w:tcPr>
            <w:tcW w:w="630" w:type="dxa"/>
            <w:vAlign w:val="center"/>
          </w:tcPr>
          <w:p w:rsidR="0062507C" w:rsidRPr="008A2662" w:rsidRDefault="0062507C" w:rsidP="0062507C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41" w:type="dxa"/>
            <w:vAlign w:val="center"/>
          </w:tcPr>
          <w:p w:rsidR="0062507C" w:rsidRPr="008A2662" w:rsidRDefault="0062507C" w:rsidP="0062507C">
            <w:pPr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Particularităţile evoluţiei clinice a parodontitelor apicale acute, cronice şi cronice exacerbate a dinţilor temporari. Influenţa procesului inflamator periapical asupra formării şi resorbţiei rădăcinilor dinţilor temporari, asupra mugurelui dintelui permanent etc.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30</w:t>
            </w:r>
          </w:p>
        </w:tc>
      </w:tr>
      <w:tr w:rsidR="0062507C" w:rsidRPr="008A2662" w:rsidTr="0062507C">
        <w:tc>
          <w:tcPr>
            <w:tcW w:w="630" w:type="dxa"/>
            <w:vAlign w:val="center"/>
          </w:tcPr>
          <w:p w:rsidR="0062507C" w:rsidRPr="008A2662" w:rsidRDefault="0062507C" w:rsidP="0062507C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41" w:type="dxa"/>
            <w:vAlign w:val="center"/>
          </w:tcPr>
          <w:p w:rsidR="0062507C" w:rsidRPr="008A2662" w:rsidRDefault="0062507C" w:rsidP="0062507C">
            <w:pPr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Particularităţile tratamentului parodontitelor apicale a dinţilor temporari şi a dinţilor permanenţi la copii de diferite vârste.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30</w:t>
            </w:r>
          </w:p>
        </w:tc>
      </w:tr>
      <w:tr w:rsidR="0062507C" w:rsidRPr="008A2662" w:rsidTr="0062507C">
        <w:tc>
          <w:tcPr>
            <w:tcW w:w="630" w:type="dxa"/>
            <w:vAlign w:val="center"/>
          </w:tcPr>
          <w:p w:rsidR="0062507C" w:rsidRPr="008A2662" w:rsidRDefault="0062507C" w:rsidP="0062507C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41" w:type="dxa"/>
            <w:vAlign w:val="center"/>
          </w:tcPr>
          <w:p w:rsidR="0062507C" w:rsidRPr="008A2662" w:rsidRDefault="0062507C" w:rsidP="0062507C">
            <w:pPr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Particularităţile evoluţiei clinice a formelor acute, cronice şi cronice exacerbate a parodontitelor apicale a dinţilor permanenţi la copii de diferite vârste. Diagnosticul diferenţial al parodontitelor apicale.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30</w:t>
            </w:r>
          </w:p>
        </w:tc>
      </w:tr>
      <w:tr w:rsidR="0062507C" w:rsidRPr="008A2662" w:rsidTr="0062507C">
        <w:tc>
          <w:tcPr>
            <w:tcW w:w="630" w:type="dxa"/>
            <w:vAlign w:val="center"/>
          </w:tcPr>
          <w:p w:rsidR="0062507C" w:rsidRPr="008A2662" w:rsidRDefault="0062507C" w:rsidP="0062507C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41" w:type="dxa"/>
            <w:vAlign w:val="center"/>
          </w:tcPr>
          <w:p w:rsidR="0062507C" w:rsidRPr="008A2662" w:rsidRDefault="0062507C" w:rsidP="0062507C">
            <w:pPr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Particularităţile tratamentului parodontitelor apicale a dinţilor permanenţi la copii de diferite vârste.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30</w:t>
            </w:r>
          </w:p>
        </w:tc>
      </w:tr>
      <w:tr w:rsidR="0062507C" w:rsidRPr="008A2662" w:rsidTr="0062507C">
        <w:tc>
          <w:tcPr>
            <w:tcW w:w="630" w:type="dxa"/>
            <w:vAlign w:val="center"/>
          </w:tcPr>
          <w:p w:rsidR="0062507C" w:rsidRPr="008A2662" w:rsidRDefault="0062507C" w:rsidP="0062507C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41" w:type="dxa"/>
            <w:vAlign w:val="center"/>
          </w:tcPr>
          <w:p w:rsidR="0062507C" w:rsidRPr="008A2662" w:rsidRDefault="0062507C" w:rsidP="0062507C">
            <w:pPr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 xml:space="preserve">Particularităţile tratamentului parodontitelor apicale a dinţilor permaneţi cu rădăcini incomplet formate. Criteriile de apreciere a eficienţei tratamentului. 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30</w:t>
            </w:r>
          </w:p>
        </w:tc>
      </w:tr>
      <w:tr w:rsidR="0062507C" w:rsidRPr="008A2662" w:rsidTr="0062507C">
        <w:tc>
          <w:tcPr>
            <w:tcW w:w="630" w:type="dxa"/>
            <w:vAlign w:val="center"/>
          </w:tcPr>
          <w:p w:rsidR="0062507C" w:rsidRPr="008A2662" w:rsidRDefault="0062507C" w:rsidP="0062507C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41" w:type="dxa"/>
            <w:vAlign w:val="center"/>
          </w:tcPr>
          <w:p w:rsidR="0062507C" w:rsidRPr="008A2662" w:rsidRDefault="0062507C" w:rsidP="0062507C">
            <w:pPr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Erorile şi complicaţiile în diagnosticul şi tratamentul parodontitelor apicale la copii.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30</w:t>
            </w:r>
          </w:p>
        </w:tc>
      </w:tr>
      <w:tr w:rsidR="0062507C" w:rsidRPr="008A2662" w:rsidTr="0062507C">
        <w:tc>
          <w:tcPr>
            <w:tcW w:w="630" w:type="dxa"/>
            <w:vAlign w:val="center"/>
          </w:tcPr>
          <w:p w:rsidR="0062507C" w:rsidRPr="008A2662" w:rsidRDefault="0062507C" w:rsidP="0062507C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41" w:type="dxa"/>
            <w:vAlign w:val="center"/>
          </w:tcPr>
          <w:p w:rsidR="0062507C" w:rsidRPr="008A2662" w:rsidRDefault="0062507C" w:rsidP="0062507C">
            <w:pPr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 xml:space="preserve">Terminologie și clasificarea pacienților cu nevoi speciale pe tipuri de dizabilități (fizice, </w:t>
            </w:r>
          </w:p>
          <w:p w:rsidR="0062507C" w:rsidRPr="008A2662" w:rsidRDefault="0062507C" w:rsidP="0062507C">
            <w:pPr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 xml:space="preserve"> psihice, senzoriale, medicale).  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30</w:t>
            </w:r>
          </w:p>
        </w:tc>
      </w:tr>
      <w:tr w:rsidR="0062507C" w:rsidRPr="008A2662" w:rsidTr="0062507C">
        <w:tc>
          <w:tcPr>
            <w:tcW w:w="630" w:type="dxa"/>
            <w:vAlign w:val="center"/>
          </w:tcPr>
          <w:p w:rsidR="0062507C" w:rsidRPr="008A2662" w:rsidRDefault="0062507C" w:rsidP="0062507C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41" w:type="dxa"/>
            <w:vAlign w:val="center"/>
          </w:tcPr>
          <w:p w:rsidR="0062507C" w:rsidRPr="008A2662" w:rsidRDefault="0062507C" w:rsidP="0062507C">
            <w:pPr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 xml:space="preserve">Abordarea terapeutică complexă, interdisciplinară a copiilor cu dizabilități 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30</w:t>
            </w:r>
          </w:p>
        </w:tc>
      </w:tr>
      <w:tr w:rsidR="0062507C" w:rsidRPr="008A2662" w:rsidTr="0062507C">
        <w:trPr>
          <w:trHeight w:val="422"/>
        </w:trPr>
        <w:tc>
          <w:tcPr>
            <w:tcW w:w="630" w:type="dxa"/>
            <w:vAlign w:val="center"/>
          </w:tcPr>
          <w:p w:rsidR="0062507C" w:rsidRPr="008A2662" w:rsidRDefault="0062507C" w:rsidP="0062507C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41" w:type="dxa"/>
            <w:vAlign w:val="center"/>
          </w:tcPr>
          <w:p w:rsidR="0062507C" w:rsidRPr="008A2662" w:rsidRDefault="0062507C" w:rsidP="0062507C">
            <w:pPr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 xml:space="preserve">Aspecte specifice ale tratamentului pedodontic la pacienții cu nevoi speciale.  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40</w:t>
            </w:r>
          </w:p>
        </w:tc>
      </w:tr>
      <w:tr w:rsidR="0062507C" w:rsidRPr="008A2662" w:rsidTr="0062507C">
        <w:trPr>
          <w:trHeight w:val="495"/>
        </w:trPr>
        <w:tc>
          <w:tcPr>
            <w:tcW w:w="630" w:type="dxa"/>
            <w:vAlign w:val="center"/>
          </w:tcPr>
          <w:p w:rsidR="0062507C" w:rsidRPr="008A2662" w:rsidRDefault="0062507C" w:rsidP="0062507C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41" w:type="dxa"/>
            <w:vAlign w:val="center"/>
          </w:tcPr>
          <w:p w:rsidR="0062507C" w:rsidRPr="008A2662" w:rsidRDefault="0062507C" w:rsidP="0062507C">
            <w:pPr>
              <w:spacing w:line="276" w:lineRule="auto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Totalizare. Prezentarea cazurilor climice.</w:t>
            </w:r>
          </w:p>
        </w:tc>
        <w:tc>
          <w:tcPr>
            <w:tcW w:w="3685" w:type="dxa"/>
            <w:gridSpan w:val="3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6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-</w:t>
            </w:r>
          </w:p>
        </w:tc>
      </w:tr>
      <w:tr w:rsidR="0062507C" w:rsidRPr="008A2662" w:rsidTr="0062507C">
        <w:trPr>
          <w:trHeight w:val="341"/>
        </w:trPr>
        <w:tc>
          <w:tcPr>
            <w:tcW w:w="5671" w:type="dxa"/>
            <w:gridSpan w:val="2"/>
            <w:vAlign w:val="center"/>
          </w:tcPr>
          <w:p w:rsidR="0062507C" w:rsidRPr="008A2662" w:rsidRDefault="0062507C" w:rsidP="0062507C">
            <w:pPr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În total 756</w:t>
            </w:r>
          </w:p>
        </w:tc>
        <w:tc>
          <w:tcPr>
            <w:tcW w:w="3685" w:type="dxa"/>
            <w:gridSpan w:val="3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146</w:t>
            </w:r>
          </w:p>
        </w:tc>
        <w:tc>
          <w:tcPr>
            <w:tcW w:w="1276" w:type="dxa"/>
            <w:vAlign w:val="center"/>
          </w:tcPr>
          <w:p w:rsidR="0062507C" w:rsidRPr="008A2662" w:rsidRDefault="0062507C" w:rsidP="0062507C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610</w:t>
            </w:r>
          </w:p>
        </w:tc>
      </w:tr>
    </w:tbl>
    <w:p w:rsidR="0062507C" w:rsidRPr="008A2662" w:rsidRDefault="0062507C" w:rsidP="0062507C">
      <w:pPr>
        <w:rPr>
          <w:b/>
          <w:bCs/>
          <w:sz w:val="24"/>
          <w:szCs w:val="24"/>
          <w:lang w:val="ro-MO"/>
        </w:rPr>
      </w:pPr>
    </w:p>
    <w:sectPr w:rsidR="0062507C" w:rsidRPr="008A2662" w:rsidSect="00823EED">
      <w:headerReference w:type="default" r:id="rId8"/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EED" w:rsidRPr="000A5861" w:rsidRDefault="00823EED" w:rsidP="00823EED">
      <w:r>
        <w:separator/>
      </w:r>
    </w:p>
  </w:endnote>
  <w:endnote w:type="continuationSeparator" w:id="0">
    <w:p w:rsidR="00823EED" w:rsidRPr="000A5861" w:rsidRDefault="00823EED" w:rsidP="00823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EED" w:rsidRPr="000A5861" w:rsidRDefault="00823EED" w:rsidP="00823EED">
      <w:r>
        <w:separator/>
      </w:r>
    </w:p>
  </w:footnote>
  <w:footnote w:type="continuationSeparator" w:id="0">
    <w:p w:rsidR="00823EED" w:rsidRPr="000A5861" w:rsidRDefault="00823EED" w:rsidP="00823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00"/>
      <w:gridCol w:w="5760"/>
      <w:gridCol w:w="2160"/>
    </w:tblGrid>
    <w:tr w:rsidR="00823EED" w:rsidRPr="00710634" w:rsidTr="00823EED">
      <w:trPr>
        <w:cantSplit/>
        <w:trHeight w:val="1309"/>
        <w:tblHeader/>
      </w:trPr>
      <w:tc>
        <w:tcPr>
          <w:tcW w:w="2700" w:type="dxa"/>
          <w:vAlign w:val="center"/>
        </w:tcPr>
        <w:p w:rsidR="00823EED" w:rsidRPr="00541BD3" w:rsidRDefault="00823EED" w:rsidP="001917A7">
          <w:pPr>
            <w:pStyle w:val="a3"/>
            <w:jc w:val="center"/>
            <w:rPr>
              <w:rFonts w:ascii="Arial" w:hAnsi="Arial" w:cs="Arial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63880" cy="838200"/>
                <wp:effectExtent l="19050" t="0" r="762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:rsidR="00823EED" w:rsidRDefault="00823EED" w:rsidP="00823EED">
          <w:pPr>
            <w:jc w:val="center"/>
            <w:rPr>
              <w:b/>
              <w:color w:val="000000"/>
              <w:sz w:val="24"/>
              <w:lang w:val="ro-MO"/>
            </w:rPr>
          </w:pPr>
          <w:r w:rsidRPr="008A2662">
            <w:rPr>
              <w:b/>
              <w:color w:val="000000"/>
              <w:sz w:val="24"/>
              <w:lang w:val="ro-MO"/>
            </w:rPr>
            <w:t xml:space="preserve">INSTITUȚIA PUBLICĂ </w:t>
          </w:r>
        </w:p>
        <w:p w:rsidR="00823EED" w:rsidRPr="008A2662" w:rsidRDefault="00823EED" w:rsidP="00823EED">
          <w:pPr>
            <w:spacing w:line="276" w:lineRule="auto"/>
            <w:jc w:val="center"/>
            <w:rPr>
              <w:b/>
              <w:color w:val="000000"/>
              <w:sz w:val="24"/>
              <w:lang w:val="ro-MO"/>
            </w:rPr>
          </w:pPr>
          <w:r w:rsidRPr="008A2662">
            <w:rPr>
              <w:b/>
              <w:color w:val="000000"/>
              <w:sz w:val="24"/>
              <w:lang w:val="ro-MO"/>
            </w:rPr>
            <w:t>UNIVERSITATEA DE STAT DE MEDICINĂ ŞI FARMACIE</w:t>
          </w:r>
        </w:p>
        <w:p w:rsidR="00823EED" w:rsidRDefault="00823EED" w:rsidP="00823EED">
          <w:pPr>
            <w:jc w:val="center"/>
            <w:rPr>
              <w:b/>
              <w:color w:val="000000"/>
              <w:sz w:val="24"/>
              <w:lang w:val="ro-MO"/>
            </w:rPr>
          </w:pPr>
          <w:r w:rsidRPr="008A2662">
            <w:rPr>
              <w:b/>
              <w:color w:val="000000"/>
              <w:sz w:val="24"/>
              <w:lang w:val="ro-MO"/>
            </w:rPr>
            <w:t>“NICOLAE TESTEMIŢANU”</w:t>
          </w:r>
        </w:p>
        <w:p w:rsidR="00823EED" w:rsidRPr="00823EED" w:rsidRDefault="00823EED" w:rsidP="00823EED">
          <w:pPr>
            <w:jc w:val="center"/>
            <w:rPr>
              <w:b/>
              <w:color w:val="000000"/>
              <w:sz w:val="24"/>
              <w:lang w:val="ro-MO"/>
            </w:rPr>
          </w:pPr>
          <w:r>
            <w:rPr>
              <w:b/>
              <w:color w:val="000000"/>
              <w:sz w:val="24"/>
              <w:lang w:val="ro-MO"/>
            </w:rPr>
            <w:t>FACULTATEA DE REZIDENȚIAT</w:t>
          </w:r>
        </w:p>
      </w:tc>
      <w:tc>
        <w:tcPr>
          <w:tcW w:w="2160" w:type="dxa"/>
          <w:vAlign w:val="center"/>
        </w:tcPr>
        <w:p w:rsidR="00823EED" w:rsidRPr="0061401F" w:rsidRDefault="00823EED" w:rsidP="001917A7">
          <w:pPr>
            <w:pStyle w:val="PaginaIntestazione"/>
            <w:rPr>
              <w:rStyle w:val="a7"/>
              <w:rFonts w:ascii="Arial" w:hAnsi="Arial" w:cs="Arial"/>
              <w:b w:val="0"/>
              <w:sz w:val="18"/>
              <w:szCs w:val="18"/>
            </w:rPr>
          </w:pPr>
          <w:r>
            <w:rPr>
              <w:rStyle w:val="a7"/>
              <w:rFonts w:ascii="Arial" w:hAnsi="Arial" w:cs="Arial"/>
              <w:b w:val="0"/>
              <w:sz w:val="18"/>
              <w:szCs w:val="18"/>
            </w:rPr>
            <w:t xml:space="preserve">Pag. </w:t>
          </w:r>
          <w:r w:rsidR="00115047">
            <w:rPr>
              <w:rStyle w:val="a7"/>
              <w:rFonts w:ascii="Arial" w:hAnsi="Arial" w:cs="Arial"/>
              <w:b w:val="0"/>
              <w:sz w:val="18"/>
              <w:szCs w:val="18"/>
            </w:rPr>
            <w:fldChar w:fldCharType="begin"/>
          </w:r>
          <w:r>
            <w:rPr>
              <w:rStyle w:val="a7"/>
              <w:rFonts w:ascii="Arial" w:hAnsi="Arial" w:cs="Arial"/>
              <w:b w:val="0"/>
              <w:sz w:val="18"/>
              <w:szCs w:val="18"/>
            </w:rPr>
            <w:instrText xml:space="preserve"> PAGE  \* Arabic  \* MERGEFORMAT </w:instrText>
          </w:r>
          <w:r w:rsidR="00115047">
            <w:rPr>
              <w:rStyle w:val="a7"/>
              <w:rFonts w:ascii="Arial" w:hAnsi="Arial" w:cs="Arial"/>
              <w:b w:val="0"/>
              <w:sz w:val="18"/>
              <w:szCs w:val="18"/>
            </w:rPr>
            <w:fldChar w:fldCharType="separate"/>
          </w:r>
          <w:r w:rsidR="0062507C">
            <w:rPr>
              <w:rStyle w:val="a7"/>
              <w:rFonts w:ascii="Arial" w:hAnsi="Arial" w:cs="Arial"/>
              <w:b w:val="0"/>
              <w:noProof/>
              <w:sz w:val="18"/>
              <w:szCs w:val="18"/>
            </w:rPr>
            <w:t>1</w:t>
          </w:r>
          <w:r w:rsidR="00115047">
            <w:rPr>
              <w:rStyle w:val="a7"/>
              <w:rFonts w:ascii="Arial" w:hAnsi="Arial" w:cs="Arial"/>
              <w:b w:val="0"/>
              <w:sz w:val="18"/>
              <w:szCs w:val="18"/>
            </w:rPr>
            <w:fldChar w:fldCharType="end"/>
          </w:r>
          <w:r>
            <w:rPr>
              <w:rStyle w:val="a7"/>
              <w:rFonts w:ascii="Arial" w:hAnsi="Arial" w:cs="Arial"/>
              <w:b w:val="0"/>
              <w:sz w:val="18"/>
              <w:szCs w:val="18"/>
            </w:rPr>
            <w:t>/</w:t>
          </w:r>
          <w:fldSimple w:instr=" NUMPAGES   \* MERGEFORMAT ">
            <w:r w:rsidR="0062507C" w:rsidRPr="0062507C">
              <w:rPr>
                <w:rStyle w:val="a7"/>
                <w:rFonts w:ascii="Arial" w:hAnsi="Arial" w:cs="Arial"/>
                <w:b w:val="0"/>
                <w:noProof/>
                <w:sz w:val="18"/>
                <w:szCs w:val="18"/>
              </w:rPr>
              <w:t>2</w:t>
            </w:r>
          </w:fldSimple>
        </w:p>
      </w:tc>
    </w:tr>
  </w:tbl>
  <w:p w:rsidR="00823EED" w:rsidRDefault="00823E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58A"/>
    <w:multiLevelType w:val="hybridMultilevel"/>
    <w:tmpl w:val="16725F28"/>
    <w:lvl w:ilvl="0" w:tplc="C9C883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226BD"/>
    <w:multiLevelType w:val="hybridMultilevel"/>
    <w:tmpl w:val="DC344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3246F"/>
    <w:multiLevelType w:val="hybridMultilevel"/>
    <w:tmpl w:val="D9E8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05CEC"/>
    <w:multiLevelType w:val="hybridMultilevel"/>
    <w:tmpl w:val="4C527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631CB0"/>
    <w:multiLevelType w:val="singleLevel"/>
    <w:tmpl w:val="64F695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3D10474"/>
    <w:multiLevelType w:val="hybridMultilevel"/>
    <w:tmpl w:val="DC344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EED"/>
    <w:rsid w:val="00115047"/>
    <w:rsid w:val="0062507C"/>
    <w:rsid w:val="00823EED"/>
    <w:rsid w:val="0088111E"/>
    <w:rsid w:val="00CB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3E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3EED"/>
  </w:style>
  <w:style w:type="paragraph" w:styleId="a5">
    <w:name w:val="footer"/>
    <w:basedOn w:val="a"/>
    <w:link w:val="a6"/>
    <w:uiPriority w:val="99"/>
    <w:semiHidden/>
    <w:unhideWhenUsed/>
    <w:rsid w:val="00823E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3EED"/>
  </w:style>
  <w:style w:type="character" w:styleId="a7">
    <w:name w:val="page number"/>
    <w:basedOn w:val="a0"/>
    <w:rsid w:val="00823EED"/>
  </w:style>
  <w:style w:type="paragraph" w:customStyle="1" w:styleId="PaginaIntestazione">
    <w:name w:val="Pagina Intestazione"/>
    <w:basedOn w:val="a3"/>
    <w:rsid w:val="00823EED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lang w:val="it-IT" w:eastAsia="it-IT"/>
    </w:rPr>
  </w:style>
  <w:style w:type="paragraph" w:styleId="a8">
    <w:name w:val="Balloon Text"/>
    <w:basedOn w:val="a"/>
    <w:link w:val="a9"/>
    <w:uiPriority w:val="99"/>
    <w:semiHidden/>
    <w:unhideWhenUsed/>
    <w:rsid w:val="00823E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EE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23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1A519-F305-4295-89A1-57466AB7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2022-02-27T13:19:00Z</dcterms:created>
  <dcterms:modified xsi:type="dcterms:W3CDTF">2022-02-27T13:39:00Z</dcterms:modified>
</cp:coreProperties>
</file>